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9" w:rsidRDefault="005B5309" w:rsidP="005B5309">
      <w:pPr>
        <w:spacing w:line="360" w:lineRule="auto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ZASTOSOWANIE STYRYLOCHINOLIN</w:t>
      </w:r>
    </w:p>
    <w:p w:rsidR="005B5309" w:rsidRDefault="005B5309" w:rsidP="005B5309">
      <w:pPr>
        <w:spacing w:line="360" w:lineRule="auto"/>
        <w:jc w:val="center"/>
        <w:rPr>
          <w:sz w:val="24"/>
          <w:szCs w:val="24"/>
        </w:rPr>
      </w:pPr>
      <w:r>
        <w:rPr>
          <w:b/>
          <w:color w:val="000000"/>
          <w:sz w:val="28"/>
          <w:szCs w:val="32"/>
        </w:rPr>
        <w:t>DO WYTWARZANIA ŚRODKÓW ANTYBAKTERYJNYCH</w:t>
      </w:r>
    </w:p>
    <w:p w:rsidR="005B5309" w:rsidRDefault="005B5309" w:rsidP="005B5309">
      <w:pPr>
        <w:spacing w:line="360" w:lineRule="auto"/>
        <w:rPr>
          <w:b/>
          <w:sz w:val="24"/>
          <w:szCs w:val="24"/>
        </w:rPr>
      </w:pPr>
    </w:p>
    <w:p w:rsidR="005B5309" w:rsidRDefault="005B5309" w:rsidP="005B5309">
      <w:pPr>
        <w:spacing w:line="360" w:lineRule="auto"/>
        <w:jc w:val="both"/>
        <w:rPr>
          <w:sz w:val="24"/>
          <w:szCs w:val="24"/>
        </w:rPr>
      </w:pPr>
    </w:p>
    <w:p w:rsidR="005B5309" w:rsidRDefault="005B5309" w:rsidP="005B5309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 OBECNY</w:t>
      </w:r>
    </w:p>
    <w:p w:rsidR="005B5309" w:rsidRDefault="005B5309" w:rsidP="005B5309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Nadzwyczajna skuteczność penicylin zmieniła sposób postrzegania chorób oraz metody ich zwalczania. Dlatego powszechne stało się nadużywanie antybiotyków – zarówno w postaci leków, jak i środków higienicznych oraz czystości. Badania statystyczne wskazują, że znaczna część terapii antybiotykowych prowadzona jest niewłaściwie lub przy zastosowaniu nieodpowiednich preparatów. Lekarze często przepisują antybiotyki pod presją pacjentów upatrujących w nich silnych i skutecznych medykamentów lub środków pomocniczych w zakażeniach czysto wirusowych. Leczeni antybiotykiem pacjenci dość często przerywają terapię, gdy tylko poczują się lepiej, rezygnując z przyjęcia pełnej dawki. Skutkiem tego złożonego stanu rzeczy jest powstanie tzw. superbakterii, odpornej na większość antybiotyków. W obliczu niebezpieczeństwa, jakie niesie ze sobą powstawanie nowych, lekoopornych szczepów bakterii, konieczne stało się zintensyfikowanie prac nad nowymi lekami bakteriobójczymi.</w:t>
      </w:r>
    </w:p>
    <w:p w:rsidR="005B5309" w:rsidRDefault="005B5309" w:rsidP="005B5309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5B5309" w:rsidRDefault="005B5309" w:rsidP="005B5309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NOWE ZASTOSOWANIE STYRYLOCHINOLIN</w:t>
      </w:r>
    </w:p>
    <w:p w:rsidR="005B5309" w:rsidRDefault="005B5309" w:rsidP="005B530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Prowadzone do tej pory badania nad nowymi farmaceutykami będącymi pochodnymi chinoliny nie obejmowały pochodnych o strukturze styrylochinoliny, zwłaszcza wzbogacanych grupami hydroksylowymi.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Wśród substancji testowanych jako potencjalne antybiotyki stosuje się często pochodne chinoliny, np. fluorochinolony, które wykazują znaczną aktywność przeciwbakteryjną, niestety połączoną z wysoką toksycznością. </w:t>
      </w:r>
      <w:r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</w:rPr>
        <w:t xml:space="preserve">Prowadzone przez twórców badania wykazały, że proste i wydajne związki pochodne o strukturze styrylochinoliny, wzbogacane grupami hydroksylowymi, mogą być stosowane  </w:t>
      </w:r>
      <w:r>
        <w:rPr>
          <w:color w:val="000000"/>
          <w:sz w:val="24"/>
          <w:szCs w:val="24"/>
        </w:rPr>
        <w:lastRenderedPageBreak/>
        <w:t>jako antybiotyki.</w:t>
      </w:r>
    </w:p>
    <w:p w:rsidR="005B5309" w:rsidRDefault="005B5309" w:rsidP="005B5309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5B5309" w:rsidRDefault="005B5309" w:rsidP="005B5309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ZALETY ROZWIĄZANIA</w:t>
      </w:r>
    </w:p>
    <w:p w:rsidR="005B5309" w:rsidRDefault="005B5309" w:rsidP="005B5309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Zastosowanie w charakterze styrylochinolin jako środków bakteriobójczych lub bakteriostatyków;</w:t>
      </w:r>
    </w:p>
    <w:p w:rsidR="005B5309" w:rsidRDefault="005B5309" w:rsidP="005B5309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Niewielka toksyczność związków w zakresie stężeń bakteriobójczych; </w:t>
      </w:r>
    </w:p>
    <w:p w:rsidR="005B5309" w:rsidRDefault="005B5309" w:rsidP="005B5309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Możliwość zastosowania jako środka antybakteryjnego;</w:t>
      </w:r>
    </w:p>
    <w:p w:rsidR="005B5309" w:rsidRDefault="005B5309" w:rsidP="005B5309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Duża aktywność związku (aktywność wobec S. aureus, S. epidermis, MRSA na poziomie kilku(dziesięciu) mikromoli);</w:t>
      </w:r>
    </w:p>
    <w:p w:rsidR="005B5309" w:rsidRDefault="005B5309" w:rsidP="005B5309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Łatwość otrzymywania w wyniku jedno- lub dwuetapowej syntezy z prostych substratów.</w:t>
      </w:r>
    </w:p>
    <w:p w:rsidR="005B5309" w:rsidRDefault="005B5309" w:rsidP="005B5309">
      <w:pPr>
        <w:spacing w:line="360" w:lineRule="auto"/>
        <w:rPr>
          <w:sz w:val="24"/>
          <w:szCs w:val="24"/>
        </w:rPr>
      </w:pPr>
    </w:p>
    <w:p w:rsidR="005B5309" w:rsidRDefault="005B5309" w:rsidP="005B530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OBSZARY ZASTOSOWANIA</w:t>
      </w:r>
    </w:p>
    <w:p w:rsidR="005B5309" w:rsidRDefault="005B5309" w:rsidP="005B5309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Przemysł farmaceutyczny;</w:t>
      </w:r>
    </w:p>
    <w:p w:rsidR="005B5309" w:rsidRDefault="005B5309" w:rsidP="005B5309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Medycyna;</w:t>
      </w:r>
    </w:p>
    <w:p w:rsidR="005B5309" w:rsidRDefault="005B5309" w:rsidP="005B5309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Przemysł spożywczy;</w:t>
      </w:r>
    </w:p>
    <w:p w:rsidR="005B5309" w:rsidRDefault="005B5309" w:rsidP="005B5309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Środki czystości, materiały dezynfekcyjne.</w:t>
      </w:r>
    </w:p>
    <w:p w:rsidR="005B5309" w:rsidRDefault="005B5309" w:rsidP="005B5309">
      <w:pPr>
        <w:spacing w:line="360" w:lineRule="auto"/>
        <w:rPr>
          <w:b/>
          <w:sz w:val="24"/>
          <w:szCs w:val="24"/>
        </w:rPr>
      </w:pPr>
    </w:p>
    <w:p w:rsidR="005B5309" w:rsidRDefault="005B5309" w:rsidP="005B530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WSPÓŁTWÓRCY ROZWIĄZANIA </w:t>
      </w:r>
    </w:p>
    <w:p w:rsidR="005B5309" w:rsidRDefault="005B5309" w:rsidP="005B530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Wioleta Kowalczyk, Robert Musioł, Jacek Nycz, Jarosław Polański, </w:t>
      </w:r>
    </w:p>
    <w:p w:rsidR="005B5309" w:rsidRDefault="005B5309" w:rsidP="005B5309">
      <w:pPr>
        <w:spacing w:line="360" w:lineRule="auto"/>
        <w:rPr>
          <w:b/>
          <w:sz w:val="24"/>
          <w:szCs w:val="24"/>
        </w:rPr>
      </w:pPr>
    </w:p>
    <w:p w:rsidR="005B5309" w:rsidRDefault="005B5309" w:rsidP="005B530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OCHRONA PATENTOWA </w:t>
      </w:r>
    </w:p>
    <w:p w:rsidR="005B5309" w:rsidRDefault="005B5309" w:rsidP="005B53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Prezentowane rozwiązanie zostało zgłoszone w Urzędzie Patentowym RP w dniu 20.04.2012 r. pod nr P.398895 z wnioskiem o udzielenie patentu.</w:t>
      </w:r>
      <w:r>
        <w:rPr>
          <w:sz w:val="24"/>
          <w:szCs w:val="24"/>
        </w:rPr>
        <w:tab/>
      </w:r>
    </w:p>
    <w:p w:rsidR="005B5309" w:rsidRDefault="005B5309" w:rsidP="005B5309">
      <w:pPr>
        <w:spacing w:line="360" w:lineRule="auto"/>
        <w:rPr>
          <w:sz w:val="24"/>
          <w:szCs w:val="24"/>
        </w:rPr>
      </w:pPr>
    </w:p>
    <w:p w:rsidR="005B5309" w:rsidRDefault="005B5309" w:rsidP="005B5309">
      <w:pPr>
        <w:spacing w:line="360" w:lineRule="auto"/>
        <w:rPr>
          <w:sz w:val="24"/>
          <w:szCs w:val="24"/>
        </w:rPr>
      </w:pPr>
    </w:p>
    <w:p w:rsidR="005B5309" w:rsidRDefault="005B5309" w:rsidP="005B5309">
      <w:pPr>
        <w:spacing w:line="360" w:lineRule="auto"/>
        <w:rPr>
          <w:sz w:val="24"/>
          <w:szCs w:val="24"/>
        </w:rPr>
      </w:pPr>
    </w:p>
    <w:p w:rsidR="005B5309" w:rsidRDefault="005B5309" w:rsidP="005B5309">
      <w:pPr>
        <w:spacing w:line="360" w:lineRule="auto"/>
        <w:rPr>
          <w:sz w:val="24"/>
          <w:szCs w:val="24"/>
        </w:rPr>
      </w:pPr>
    </w:p>
    <w:p w:rsidR="005B5309" w:rsidRDefault="005B5309" w:rsidP="005B5309">
      <w:pPr>
        <w:spacing w:line="360" w:lineRule="auto"/>
        <w:rPr>
          <w:sz w:val="20"/>
          <w:szCs w:val="20"/>
        </w:rPr>
      </w:pPr>
    </w:p>
    <w:p w:rsidR="00B37FD3" w:rsidRDefault="00B37FD3" w:rsidP="00C004E8">
      <w:bookmarkStart w:id="0" w:name="_GoBack"/>
      <w:bookmarkEnd w:id="0"/>
    </w:p>
    <w:p w:rsidR="00DA3D15" w:rsidRDefault="00DA3D15" w:rsidP="00C004E8"/>
    <w:p w:rsidR="00DA3D15" w:rsidRPr="00DA3D15" w:rsidRDefault="00DA3D15" w:rsidP="00C004E8">
      <w:pPr>
        <w:rPr>
          <w:sz w:val="24"/>
          <w:szCs w:val="24"/>
        </w:rPr>
      </w:pPr>
    </w:p>
    <w:p w:rsidR="00DA3D15" w:rsidRPr="00DA3D15" w:rsidRDefault="00DA3D15" w:rsidP="00C004E8">
      <w:pPr>
        <w:rPr>
          <w:sz w:val="24"/>
          <w:szCs w:val="24"/>
        </w:rPr>
      </w:pPr>
    </w:p>
    <w:sectPr w:rsidR="00DA3D15" w:rsidRPr="00DA3D15" w:rsidSect="00811212">
      <w:headerReference w:type="default" r:id="rId9"/>
      <w:footerReference w:type="default" r:id="rId10"/>
      <w:type w:val="nextColumn"/>
      <w:pgSz w:w="11906" w:h="16838" w:code="9"/>
      <w:pgMar w:top="1417" w:right="1417" w:bottom="1417" w:left="1417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A9" w:rsidRDefault="008A7EA9" w:rsidP="0022245B">
      <w:pPr>
        <w:spacing w:after="0" w:line="240" w:lineRule="auto"/>
      </w:pPr>
      <w:r>
        <w:separator/>
      </w:r>
    </w:p>
  </w:endnote>
  <w:end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Pr="00476636" w:rsidRDefault="005B5309" w:rsidP="004766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126490"/>
          <wp:effectExtent l="0" t="0" r="0" b="0"/>
          <wp:wrapTopAndBottom/>
          <wp:docPr id="80" name="Obraz 80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A9" w:rsidRDefault="008A7EA9" w:rsidP="0022245B">
      <w:pPr>
        <w:spacing w:after="0" w:line="240" w:lineRule="auto"/>
      </w:pPr>
      <w:r>
        <w:separator/>
      </w:r>
    </w:p>
  </w:footnote>
  <w:foot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Default="005B53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35825" cy="850900"/>
          <wp:effectExtent l="0" t="0" r="3175" b="6350"/>
          <wp:wrapTopAndBottom/>
          <wp:docPr id="79" name="Obraz 7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A85"/>
    <w:multiLevelType w:val="hybridMultilevel"/>
    <w:tmpl w:val="6BCA8C7C"/>
    <w:lvl w:ilvl="0" w:tplc="B1DCC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F1329"/>
    <w:multiLevelType w:val="hybridMultilevel"/>
    <w:tmpl w:val="5A9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84C29"/>
    <w:multiLevelType w:val="hybridMultilevel"/>
    <w:tmpl w:val="FC1C4D5E"/>
    <w:lvl w:ilvl="0" w:tplc="B1DCC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4185"/>
    <w:rsid w:val="000B19E4"/>
    <w:rsid w:val="000B6A13"/>
    <w:rsid w:val="000D7607"/>
    <w:rsid w:val="00112C84"/>
    <w:rsid w:val="00124C95"/>
    <w:rsid w:val="00143588"/>
    <w:rsid w:val="00146955"/>
    <w:rsid w:val="0015549A"/>
    <w:rsid w:val="001723DD"/>
    <w:rsid w:val="00187E8F"/>
    <w:rsid w:val="001F5A45"/>
    <w:rsid w:val="00211788"/>
    <w:rsid w:val="0022245B"/>
    <w:rsid w:val="0023037E"/>
    <w:rsid w:val="002400CB"/>
    <w:rsid w:val="00271CB1"/>
    <w:rsid w:val="0029066C"/>
    <w:rsid w:val="002D2706"/>
    <w:rsid w:val="003275DB"/>
    <w:rsid w:val="00387488"/>
    <w:rsid w:val="00392110"/>
    <w:rsid w:val="003B6E17"/>
    <w:rsid w:val="003E155A"/>
    <w:rsid w:val="003F319A"/>
    <w:rsid w:val="003F7262"/>
    <w:rsid w:val="0041053F"/>
    <w:rsid w:val="00416188"/>
    <w:rsid w:val="00424DAB"/>
    <w:rsid w:val="00432664"/>
    <w:rsid w:val="00457A74"/>
    <w:rsid w:val="004738EB"/>
    <w:rsid w:val="00476636"/>
    <w:rsid w:val="004A387D"/>
    <w:rsid w:val="004E50B2"/>
    <w:rsid w:val="004F3296"/>
    <w:rsid w:val="0052624F"/>
    <w:rsid w:val="005602D0"/>
    <w:rsid w:val="005856BD"/>
    <w:rsid w:val="005A01DD"/>
    <w:rsid w:val="005B5309"/>
    <w:rsid w:val="005C0E51"/>
    <w:rsid w:val="0064169B"/>
    <w:rsid w:val="0067291E"/>
    <w:rsid w:val="00680C8F"/>
    <w:rsid w:val="006E66A5"/>
    <w:rsid w:val="006F5670"/>
    <w:rsid w:val="007D1DE9"/>
    <w:rsid w:val="00804014"/>
    <w:rsid w:val="00811212"/>
    <w:rsid w:val="0082315F"/>
    <w:rsid w:val="0082623A"/>
    <w:rsid w:val="008437C5"/>
    <w:rsid w:val="008457A0"/>
    <w:rsid w:val="00857877"/>
    <w:rsid w:val="0087203E"/>
    <w:rsid w:val="008A2C1D"/>
    <w:rsid w:val="008A7EA9"/>
    <w:rsid w:val="008B3B07"/>
    <w:rsid w:val="008B5AC5"/>
    <w:rsid w:val="008C6CA2"/>
    <w:rsid w:val="0091131F"/>
    <w:rsid w:val="00920F95"/>
    <w:rsid w:val="0092504E"/>
    <w:rsid w:val="0095573D"/>
    <w:rsid w:val="00970B11"/>
    <w:rsid w:val="00972329"/>
    <w:rsid w:val="009878B7"/>
    <w:rsid w:val="009D239D"/>
    <w:rsid w:val="009D570E"/>
    <w:rsid w:val="009F29BD"/>
    <w:rsid w:val="00A11FF6"/>
    <w:rsid w:val="00A8020E"/>
    <w:rsid w:val="00A90C97"/>
    <w:rsid w:val="00A9148D"/>
    <w:rsid w:val="00B04342"/>
    <w:rsid w:val="00B228C7"/>
    <w:rsid w:val="00B37FD3"/>
    <w:rsid w:val="00B44B60"/>
    <w:rsid w:val="00C004E8"/>
    <w:rsid w:val="00C134D1"/>
    <w:rsid w:val="00C26058"/>
    <w:rsid w:val="00CF60F2"/>
    <w:rsid w:val="00D421C5"/>
    <w:rsid w:val="00D65264"/>
    <w:rsid w:val="00DA3D15"/>
    <w:rsid w:val="00DB3C00"/>
    <w:rsid w:val="00DE53CE"/>
    <w:rsid w:val="00E465F4"/>
    <w:rsid w:val="00E827B9"/>
    <w:rsid w:val="00EF04F1"/>
    <w:rsid w:val="00F34231"/>
    <w:rsid w:val="00FD221E"/>
    <w:rsid w:val="00FE317F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99"/>
    <w:qFormat/>
    <w:rsid w:val="005B53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99"/>
    <w:qFormat/>
    <w:rsid w:val="005B53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55F6-A80C-4281-A397-B69C9F0A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7C97E359</Template>
  <TotalTime>0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Wioletta Prasak</cp:lastModifiedBy>
  <cp:revision>2</cp:revision>
  <cp:lastPrinted>2014-08-27T07:58:00Z</cp:lastPrinted>
  <dcterms:created xsi:type="dcterms:W3CDTF">2015-02-16T10:08:00Z</dcterms:created>
  <dcterms:modified xsi:type="dcterms:W3CDTF">2015-02-16T10:08:00Z</dcterms:modified>
</cp:coreProperties>
</file>