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51" w:rsidRDefault="003F0B51" w:rsidP="003F0B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Pochodne kwasu pirazynokarboksylowego,</w:t>
      </w:r>
      <w:r>
        <w:rPr>
          <w:b/>
          <w:bCs/>
          <w:sz w:val="28"/>
          <w:szCs w:val="28"/>
        </w:rPr>
        <w:br/>
        <w:t>s</w:t>
      </w:r>
      <w:r>
        <w:rPr>
          <w:b/>
          <w:bCs/>
          <w:color w:val="000000"/>
          <w:sz w:val="28"/>
          <w:szCs w:val="28"/>
        </w:rPr>
        <w:t>posób ich</w:t>
      </w:r>
      <w:r>
        <w:rPr>
          <w:b/>
          <w:bCs/>
          <w:sz w:val="28"/>
          <w:szCs w:val="28"/>
        </w:rPr>
        <w:t xml:space="preserve"> otrzymywania oraz zastosowanie.</w:t>
      </w:r>
    </w:p>
    <w:p w:rsidR="003F0B51" w:rsidRDefault="003F0B51" w:rsidP="003F0B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OBECNY</w:t>
      </w:r>
    </w:p>
    <w:p w:rsidR="003F0B51" w:rsidRDefault="003F0B51" w:rsidP="003F0B51">
      <w:pPr>
        <w:jc w:val="both"/>
        <w:rPr>
          <w:sz w:val="24"/>
          <w:szCs w:val="24"/>
        </w:rPr>
      </w:pPr>
      <w:r>
        <w:rPr>
          <w:sz w:val="24"/>
          <w:szCs w:val="24"/>
        </w:rPr>
        <w:t>Nowoczesny, pozornie sterylny styl życia nie zapewnia wystarczającej ochrony przed mikrobami rozwijającymi się na powierzchniach sanitarnych, tkaninach w urządzeniach wentylacyjnych i klimatyzacyjnych. Z drugiej strony nieumiejętne stosowanie antybiotyków doprowadziło to wytworzenia szczepów bakterii i grzybów opornych na większość znanych leków. Wymusza to stosowanie wciąż nowych substancji o działaniu przeciw</w:t>
      </w:r>
      <w:bookmarkStart w:id="0" w:name="_GoBack"/>
      <w:bookmarkEnd w:id="0"/>
      <w:r>
        <w:rPr>
          <w:sz w:val="24"/>
          <w:szCs w:val="24"/>
        </w:rPr>
        <w:t xml:space="preserve">mikrobiologicznym, w szczególności zaś takich, których spektrum działania przeciw drobnoustrojom jest wystarczająco szerokie. Przykładem jest tu kwas pirazynokarboksylowy (POA) lub jego pochodne.  Związki te są z powodzeniem wykorzystywane do produkcji farmaceutyków np. preparatów przeciwgruźliczych. Mechanizm działania kwasu i jego pochodnych opiera się głównie na obniżaniu pH cytoplazmy, zaburzaniu działania przenośników elektronów i funkcji błon biologicznych komórek drobnoustrojów chorobotwórczych. Pozwala to, na zastosowanie tych związków jako substancji farmakologicznie czynnych, pierwotnie występujących w postaci proleków. Samo wytworzenie proleku posiadającego odpowiednie parametry farmakokinetyczne stwarza jednak problemy natury technicznej. Zwłaszcza </w:t>
      </w:r>
      <w:r>
        <w:rPr>
          <w:color w:val="000000"/>
          <w:szCs w:val="24"/>
        </w:rPr>
        <w:t>w przypadku zastosowań farmaceutycznych, synteza taka powinna być możliwie uproszczona oraz powinna umożliwiać uzyskanie wysokich wydajności i czystości otrzymywanego związku.</w:t>
      </w:r>
    </w:p>
    <w:p w:rsidR="003F0B51" w:rsidRDefault="003F0B51" w:rsidP="003F0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NOWE ROZWIĄZANIE W ASPEKCIE STOSOWANIA POA</w:t>
      </w:r>
    </w:p>
    <w:p w:rsidR="003F0B51" w:rsidRPr="003F0B51" w:rsidRDefault="003F0B51" w:rsidP="003F0B51">
      <w:pPr>
        <w:rPr>
          <w:sz w:val="24"/>
          <w:szCs w:val="24"/>
        </w:rPr>
      </w:pPr>
    </w:p>
    <w:p w:rsidR="003F0B51" w:rsidRDefault="003F0B51" w:rsidP="003F0B51">
      <w:pPr>
        <w:jc w:val="both"/>
        <w:rPr>
          <w:szCs w:val="24"/>
        </w:rPr>
      </w:pPr>
      <w:r>
        <w:rPr>
          <w:sz w:val="24"/>
          <w:szCs w:val="24"/>
        </w:rPr>
        <w:t xml:space="preserve">Istotą rozwiązania jest sposób </w:t>
      </w:r>
      <w:r>
        <w:rPr>
          <w:szCs w:val="24"/>
        </w:rPr>
        <w:t xml:space="preserve">wydajnego otrzymywania nowych pochodnych kwasu pirazynokarboksylowego i ich zastosowanie, jako związków </w:t>
      </w:r>
      <w:r>
        <w:rPr>
          <w:b/>
          <w:szCs w:val="24"/>
        </w:rPr>
        <w:t xml:space="preserve">przeciwgrzybiczych </w:t>
      </w:r>
      <w:r>
        <w:rPr>
          <w:szCs w:val="24"/>
        </w:rPr>
        <w:t>i</w:t>
      </w:r>
      <w:r>
        <w:rPr>
          <w:b/>
          <w:szCs w:val="24"/>
        </w:rPr>
        <w:t> przeciwbakteryjnych</w:t>
      </w:r>
      <w:r>
        <w:rPr>
          <w:szCs w:val="24"/>
        </w:rPr>
        <w:t>.  Wzór ogólny nowych pochodnych POA przedstawia poniższy rysunek:</w:t>
      </w:r>
    </w:p>
    <w:p w:rsidR="003F0B51" w:rsidRDefault="003F0B51" w:rsidP="003F0B51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2805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99.55pt" o:ole="" filled="t">
            <v:fill color2="black"/>
            <v:imagedata r:id="rId9" o:title=""/>
          </v:shape>
          <o:OLEObject Type="Embed" ProgID="ACD.ChemSketch.20" ShapeID="_x0000_i1025" DrawAspect="Content" ObjectID="_1485591495" r:id="rId10"/>
        </w:object>
      </w:r>
    </w:p>
    <w:p w:rsidR="003F0B51" w:rsidRPr="003F0B51" w:rsidRDefault="003F0B51" w:rsidP="003F0B51">
      <w:pPr>
        <w:spacing w:line="360" w:lineRule="auto"/>
        <w:jc w:val="both"/>
        <w:rPr>
          <w:bCs/>
          <w:color w:val="000000"/>
          <w:szCs w:val="24"/>
        </w:rPr>
      </w:pPr>
      <w:r>
        <w:rPr>
          <w:szCs w:val="24"/>
        </w:rPr>
        <w:t>gdzie: R oznacza grupę alkilową, prostą lub rozgałęzioną, zawierającą od dwóch do ośmiu atomów węgla, natomiastR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oznacza 2-hydroksybenzoil lub grupę 3-metylofenyloaminową.</w:t>
      </w:r>
    </w:p>
    <w:p w:rsidR="003F0B51" w:rsidRDefault="003F0B51" w:rsidP="003F0B51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Sposób otrzymywania pochodnych</w:t>
      </w:r>
      <w:r>
        <w:rPr>
          <w:color w:val="000000"/>
          <w:szCs w:val="24"/>
        </w:rPr>
        <w:t xml:space="preserve"> kwasu pirazynokarboksylowego</w:t>
      </w:r>
      <w:r>
        <w:rPr>
          <w:bCs/>
          <w:color w:val="000000"/>
          <w:szCs w:val="24"/>
        </w:rPr>
        <w:t xml:space="preserve"> opisanych wzorem 1, polega na ogrzewaniu zakwaszonej mieszaniny kwasu pirazynokarboksylowego oraz alkoholu alifatycznego zawierającego od </w:t>
      </w:r>
      <w:r>
        <w:rPr>
          <w:szCs w:val="24"/>
        </w:rPr>
        <w:t>dwóch do ośmiu</w:t>
      </w:r>
      <w:r>
        <w:rPr>
          <w:bCs/>
          <w:color w:val="000000"/>
          <w:szCs w:val="24"/>
        </w:rPr>
        <w:t xml:space="preserve"> atomów węgla, w dowolnym stosunku, w polu mikrofalowym, w temperaturze od 80 do 180</w:t>
      </w:r>
      <w:r>
        <w:rPr>
          <w:bCs/>
          <w:color w:val="000000"/>
          <w:szCs w:val="24"/>
          <w:vertAlign w:val="superscript"/>
        </w:rPr>
        <w:t>o</w:t>
      </w:r>
      <w:r>
        <w:rPr>
          <w:bCs/>
          <w:color w:val="000000"/>
          <w:szCs w:val="24"/>
        </w:rPr>
        <w:t xml:space="preserve">C, przez określony czas i przy utrzymaniu odpowiedniego ciśnienia. Taka metoda syntezy zapewnia wysoką wydajność w krótkim czasie oraz umożliwia prostą izolację gotowych produktów z mieszaniny poreakcyjnej. </w:t>
      </w:r>
    </w:p>
    <w:p w:rsidR="003F0B51" w:rsidRDefault="003F0B51" w:rsidP="003F0B51">
      <w:pPr>
        <w:jc w:val="both"/>
        <w:rPr>
          <w:szCs w:val="24"/>
        </w:rPr>
      </w:pPr>
      <w:r>
        <w:rPr>
          <w:szCs w:val="24"/>
        </w:rPr>
        <w:t xml:space="preserve">Do nowych pochodnych kwasu otrzymanych tym sposobem należą estry kwasu 6-[(3-metylofenylo)-amino]-pirazyno-2 karboksylowego: </w:t>
      </w:r>
      <w:r>
        <w:rPr>
          <w:b/>
          <w:szCs w:val="24"/>
        </w:rPr>
        <w:t xml:space="preserve">n-heksylowy, etylowy, butylowy, i-butylowy </w:t>
      </w:r>
      <w:r>
        <w:rPr>
          <w:szCs w:val="24"/>
        </w:rPr>
        <w:t xml:space="preserve">oraz </w:t>
      </w:r>
      <w:r>
        <w:rPr>
          <w:b/>
          <w:szCs w:val="24"/>
        </w:rPr>
        <w:t>i-pentylowy</w:t>
      </w:r>
      <w:r>
        <w:rPr>
          <w:szCs w:val="24"/>
        </w:rPr>
        <w:t>.</w:t>
      </w:r>
    </w:p>
    <w:p w:rsidR="003F0B51" w:rsidRDefault="003F0B51" w:rsidP="003F0B51">
      <w:pPr>
        <w:jc w:val="both"/>
        <w:rPr>
          <w:szCs w:val="24"/>
        </w:rPr>
      </w:pPr>
      <w:r>
        <w:rPr>
          <w:sz w:val="24"/>
          <w:szCs w:val="24"/>
        </w:rPr>
        <w:t xml:space="preserve">Działanie przeciwdrobnoustrojowe związków obejmuje gatunki grzybów z rodzaju </w:t>
      </w:r>
      <w:r>
        <w:rPr>
          <w:i/>
          <w:sz w:val="24"/>
          <w:szCs w:val="24"/>
        </w:rPr>
        <w:t>Candida</w:t>
      </w:r>
      <w:r>
        <w:rPr>
          <w:sz w:val="24"/>
          <w:szCs w:val="24"/>
        </w:rPr>
        <w:t xml:space="preserve"> m.in. </w:t>
      </w:r>
      <w:r>
        <w:rPr>
          <w:i/>
          <w:sz w:val="24"/>
          <w:szCs w:val="24"/>
        </w:rPr>
        <w:t>C. albicans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C. tropicalis, C. krusei, C. glabrata </w:t>
      </w:r>
      <w:r>
        <w:rPr>
          <w:sz w:val="24"/>
          <w:szCs w:val="24"/>
        </w:rPr>
        <w:t xml:space="preserve">oraz pleśnie jak </w:t>
      </w:r>
      <w:r>
        <w:rPr>
          <w:i/>
          <w:szCs w:val="24"/>
        </w:rPr>
        <w:t>Aspergillus fumigatus, Trichosporon asahii, Absidia corymbifera, Trichophyton mentagrophytes</w:t>
      </w:r>
      <w:r>
        <w:rPr>
          <w:szCs w:val="24"/>
        </w:rPr>
        <w:t xml:space="preserve">, a także bakterie </w:t>
      </w:r>
      <w:r>
        <w:rPr>
          <w:i/>
          <w:szCs w:val="24"/>
        </w:rPr>
        <w:t xml:space="preserve">Staphylococcus </w:t>
      </w:r>
      <w:r>
        <w:rPr>
          <w:szCs w:val="24"/>
        </w:rPr>
        <w:t xml:space="preserve">(gronkowiec złocisty i gronkowiec skórny), </w:t>
      </w:r>
      <w:r>
        <w:rPr>
          <w:i/>
          <w:szCs w:val="24"/>
        </w:rPr>
        <w:t>Enterococcus, Escherichia coli, Klebsiella pneumoniae</w:t>
      </w:r>
      <w:r>
        <w:rPr>
          <w:szCs w:val="24"/>
        </w:rPr>
        <w:t xml:space="preserve"> (pałeczka zapalenia płuc), </w:t>
      </w:r>
      <w:r>
        <w:rPr>
          <w:i/>
          <w:szCs w:val="24"/>
        </w:rPr>
        <w:t>Pseudomonas aeruginosa</w:t>
      </w:r>
      <w:r>
        <w:rPr>
          <w:szCs w:val="24"/>
        </w:rPr>
        <w:t xml:space="preserve"> (pałeczka ropy błękitnej).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</w:p>
    <w:p w:rsidR="003F0B51" w:rsidRDefault="003F0B51" w:rsidP="003F0B51">
      <w:pPr>
        <w:tabs>
          <w:tab w:val="left" w:pos="33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ZALETY ROZWIĄZANIA</w:t>
      </w:r>
    </w:p>
    <w:p w:rsidR="003F0B51" w:rsidRDefault="003F0B51" w:rsidP="003F0B51">
      <w:pPr>
        <w:numPr>
          <w:ilvl w:val="0"/>
          <w:numId w:val="6"/>
        </w:numPr>
      </w:pPr>
      <w:r>
        <w:t>Rozszerzenie wachlarza dostępnych substancji przeciwgrzybiczych i przeciwbakteryjnych.</w:t>
      </w:r>
    </w:p>
    <w:p w:rsidR="003F0B51" w:rsidRDefault="003F0B51" w:rsidP="003F0B51">
      <w:pPr>
        <w:numPr>
          <w:ilvl w:val="0"/>
          <w:numId w:val="6"/>
        </w:numPr>
      </w:pPr>
      <w:r>
        <w:t>Szerokie spektrum działania nowych pochodnych POA.</w:t>
      </w:r>
    </w:p>
    <w:p w:rsidR="003F0B51" w:rsidRDefault="003F0B51" w:rsidP="003F0B51">
      <w:pPr>
        <w:numPr>
          <w:ilvl w:val="0"/>
          <w:numId w:val="6"/>
        </w:numPr>
      </w:pPr>
      <w:r>
        <w:t>Prosty i wydajny z technologicznego punktu widzenia sposób otrzymywania pochodnych POA.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0B51" w:rsidRDefault="003F0B51" w:rsidP="003F0B51">
      <w:pPr>
        <w:tabs>
          <w:tab w:val="left" w:pos="33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OBSZARY ZASTOSOWANIA</w:t>
      </w:r>
    </w:p>
    <w:p w:rsidR="003F0B51" w:rsidRDefault="003F0B51" w:rsidP="003F0B51">
      <w:pPr>
        <w:numPr>
          <w:ilvl w:val="0"/>
          <w:numId w:val="5"/>
        </w:numPr>
      </w:pPr>
      <w:r>
        <w:t>Medycyna/farmakologia – jako środki/leki przeciwgrzybicze i przeciwbakteryjne np. do odkażania ran.</w:t>
      </w:r>
    </w:p>
    <w:p w:rsidR="003F0B51" w:rsidRDefault="003F0B51" w:rsidP="003F0B51">
      <w:pPr>
        <w:numPr>
          <w:ilvl w:val="0"/>
          <w:numId w:val="5"/>
        </w:numPr>
      </w:pPr>
      <w:r>
        <w:t>Przemysł – jako środki dezynfekujące, substancje wykorzystywane do produkcji preparatów czyszczących.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</w:p>
    <w:p w:rsidR="003F0B51" w:rsidRDefault="003F0B51" w:rsidP="003F0B51">
      <w:pPr>
        <w:tabs>
          <w:tab w:val="left" w:pos="33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TWÓRCY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R. Musioł, M. Dolezal, W. Kowalczyk</w:t>
      </w:r>
    </w:p>
    <w:p w:rsidR="003F0B51" w:rsidRDefault="003F0B51" w:rsidP="003F0B51">
      <w:pPr>
        <w:tabs>
          <w:tab w:val="left" w:pos="33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OCHRONA PRAWNA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Prezentowane rozwiązanie zostało zgłoszone jako wynalazek w Urzędzie Patentowym RP w dniu 08.07.2011 pod nr P.395585. Aktualnie wynalazek jest chroniony patentem o nr </w:t>
      </w:r>
      <w:r>
        <w:t>217165.</w:t>
      </w:r>
    </w:p>
    <w:p w:rsidR="003F0B51" w:rsidRDefault="003F0B51" w:rsidP="003F0B51">
      <w:pPr>
        <w:tabs>
          <w:tab w:val="left" w:pos="3315"/>
        </w:tabs>
        <w:jc w:val="both"/>
        <w:rPr>
          <w:sz w:val="24"/>
          <w:szCs w:val="24"/>
        </w:rPr>
      </w:pPr>
    </w:p>
    <w:p w:rsidR="00B37FD3" w:rsidRDefault="00B37FD3" w:rsidP="00C004E8"/>
    <w:p w:rsidR="00DA3D15" w:rsidRDefault="00DA3D15" w:rsidP="00C004E8"/>
    <w:p w:rsidR="00DA3D15" w:rsidRPr="00DA3D15" w:rsidRDefault="00DA3D15" w:rsidP="00C004E8">
      <w:pPr>
        <w:rPr>
          <w:sz w:val="24"/>
          <w:szCs w:val="24"/>
        </w:rPr>
      </w:pPr>
    </w:p>
    <w:p w:rsidR="00DA3D15" w:rsidRPr="00DA3D15" w:rsidRDefault="00DA3D15" w:rsidP="00C004E8">
      <w:pPr>
        <w:rPr>
          <w:sz w:val="24"/>
          <w:szCs w:val="24"/>
        </w:rPr>
      </w:pPr>
    </w:p>
    <w:sectPr w:rsidR="00DA3D15" w:rsidRPr="00DA3D15" w:rsidSect="00811212">
      <w:headerReference w:type="default" r:id="rId11"/>
      <w:footerReference w:type="default" r:id="rId12"/>
      <w:type w:val="nextColumn"/>
      <w:pgSz w:w="11906" w:h="16838" w:code="9"/>
      <w:pgMar w:top="1417" w:right="1417" w:bottom="1417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9" w:rsidRDefault="008A7EA9" w:rsidP="0022245B">
      <w:pPr>
        <w:spacing w:after="0" w:line="240" w:lineRule="auto"/>
      </w:pPr>
      <w:r>
        <w:separator/>
      </w:r>
    </w:p>
  </w:endnote>
  <w:end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Pr="00476636" w:rsidRDefault="003F0B51" w:rsidP="004766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9" w:rsidRDefault="008A7EA9" w:rsidP="0022245B">
      <w:pPr>
        <w:spacing w:after="0" w:line="240" w:lineRule="auto"/>
      </w:pPr>
      <w:r>
        <w:separator/>
      </w:r>
    </w:p>
  </w:footnote>
  <w:foot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Default="003F0B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2E7"/>
    <w:multiLevelType w:val="hybridMultilevel"/>
    <w:tmpl w:val="559A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1AD4"/>
    <w:multiLevelType w:val="hybridMultilevel"/>
    <w:tmpl w:val="DD9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1D64"/>
    <w:multiLevelType w:val="hybridMultilevel"/>
    <w:tmpl w:val="9748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1329"/>
    <w:multiLevelType w:val="hybridMultilevel"/>
    <w:tmpl w:val="5A9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047E"/>
    <w:multiLevelType w:val="hybridMultilevel"/>
    <w:tmpl w:val="EF54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4185"/>
    <w:rsid w:val="000B19E4"/>
    <w:rsid w:val="000B6A13"/>
    <w:rsid w:val="000D7607"/>
    <w:rsid w:val="00112C84"/>
    <w:rsid w:val="00124C95"/>
    <w:rsid w:val="00143588"/>
    <w:rsid w:val="00146955"/>
    <w:rsid w:val="0015549A"/>
    <w:rsid w:val="001723DD"/>
    <w:rsid w:val="00187E8F"/>
    <w:rsid w:val="001F5A45"/>
    <w:rsid w:val="00211788"/>
    <w:rsid w:val="0022245B"/>
    <w:rsid w:val="0023037E"/>
    <w:rsid w:val="002400CB"/>
    <w:rsid w:val="00271CB1"/>
    <w:rsid w:val="0029066C"/>
    <w:rsid w:val="002D2706"/>
    <w:rsid w:val="003275DB"/>
    <w:rsid w:val="00387488"/>
    <w:rsid w:val="00392110"/>
    <w:rsid w:val="003B6E17"/>
    <w:rsid w:val="003E155A"/>
    <w:rsid w:val="003F0B51"/>
    <w:rsid w:val="003F319A"/>
    <w:rsid w:val="003F7262"/>
    <w:rsid w:val="0041053F"/>
    <w:rsid w:val="00416188"/>
    <w:rsid w:val="00424DAB"/>
    <w:rsid w:val="00432664"/>
    <w:rsid w:val="00457A74"/>
    <w:rsid w:val="004738EB"/>
    <w:rsid w:val="00476636"/>
    <w:rsid w:val="004A387D"/>
    <w:rsid w:val="004E50B2"/>
    <w:rsid w:val="004F3296"/>
    <w:rsid w:val="0052624F"/>
    <w:rsid w:val="005602D0"/>
    <w:rsid w:val="005856BD"/>
    <w:rsid w:val="005A01DD"/>
    <w:rsid w:val="005C0E51"/>
    <w:rsid w:val="0064169B"/>
    <w:rsid w:val="0067291E"/>
    <w:rsid w:val="00680C8F"/>
    <w:rsid w:val="006E66A5"/>
    <w:rsid w:val="006F5670"/>
    <w:rsid w:val="007D1DE9"/>
    <w:rsid w:val="00804014"/>
    <w:rsid w:val="00811212"/>
    <w:rsid w:val="0082315F"/>
    <w:rsid w:val="0082623A"/>
    <w:rsid w:val="008437C5"/>
    <w:rsid w:val="008457A0"/>
    <w:rsid w:val="00857877"/>
    <w:rsid w:val="0087203E"/>
    <w:rsid w:val="008A2C1D"/>
    <w:rsid w:val="008A7EA9"/>
    <w:rsid w:val="008B3B07"/>
    <w:rsid w:val="008B5AC5"/>
    <w:rsid w:val="008C6CA2"/>
    <w:rsid w:val="0091131F"/>
    <w:rsid w:val="00920F95"/>
    <w:rsid w:val="0092504E"/>
    <w:rsid w:val="0095573D"/>
    <w:rsid w:val="00970B11"/>
    <w:rsid w:val="00972329"/>
    <w:rsid w:val="009878B7"/>
    <w:rsid w:val="009D239D"/>
    <w:rsid w:val="009D570E"/>
    <w:rsid w:val="009F29BD"/>
    <w:rsid w:val="00A11FF6"/>
    <w:rsid w:val="00A8020E"/>
    <w:rsid w:val="00A90C97"/>
    <w:rsid w:val="00A9148D"/>
    <w:rsid w:val="00B04342"/>
    <w:rsid w:val="00B228C7"/>
    <w:rsid w:val="00B37FD3"/>
    <w:rsid w:val="00B44B60"/>
    <w:rsid w:val="00C004E8"/>
    <w:rsid w:val="00C134D1"/>
    <w:rsid w:val="00C26058"/>
    <w:rsid w:val="00CF60F2"/>
    <w:rsid w:val="00D421C5"/>
    <w:rsid w:val="00D65264"/>
    <w:rsid w:val="00DA3D15"/>
    <w:rsid w:val="00DB3C00"/>
    <w:rsid w:val="00DE53CE"/>
    <w:rsid w:val="00E465F4"/>
    <w:rsid w:val="00E827B9"/>
    <w:rsid w:val="00EF04F1"/>
    <w:rsid w:val="00F34231"/>
    <w:rsid w:val="00FD221E"/>
    <w:rsid w:val="00FE317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34"/>
    <w:qFormat/>
    <w:rsid w:val="003F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34"/>
    <w:qFormat/>
    <w:rsid w:val="003F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FA16-F9BD-4083-97D5-0B1262A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AE05A801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Prasak</cp:lastModifiedBy>
  <cp:revision>2</cp:revision>
  <cp:lastPrinted>2014-08-27T07:58:00Z</cp:lastPrinted>
  <dcterms:created xsi:type="dcterms:W3CDTF">2015-02-16T10:32:00Z</dcterms:created>
  <dcterms:modified xsi:type="dcterms:W3CDTF">2015-02-16T10:32:00Z</dcterms:modified>
</cp:coreProperties>
</file>